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791B9"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212529"/>
        </w:rPr>
        <w:t xml:space="preserve">TO: SODC Planning - Emma Bowerman </w:t>
      </w:r>
      <w:hyperlink r:id="rId5" w:tgtFrame="_blank" w:history="1">
        <w:r>
          <w:rPr>
            <w:rStyle w:val="normaltextrun"/>
            <w:rFonts w:ascii="Calibri" w:eastAsiaTheme="majorEastAsia" w:hAnsi="Calibri" w:cs="Calibri"/>
            <w:color w:val="0000FF"/>
            <w:u w:val="single"/>
          </w:rPr>
          <w:t>&lt;emma.bowerman@southandvale.gov.uk</w:t>
        </w:r>
      </w:hyperlink>
      <w:r>
        <w:rPr>
          <w:rStyle w:val="normaltextrun"/>
          <w:rFonts w:ascii="Calibri" w:eastAsiaTheme="majorEastAsia" w:hAnsi="Calibri" w:cs="Calibri"/>
          <w:color w:val="212529"/>
        </w:rPr>
        <w:t>&gt;</w:t>
      </w:r>
      <w:r>
        <w:rPr>
          <w:rStyle w:val="eop"/>
          <w:rFonts w:ascii="Calibri" w:eastAsiaTheme="majorEastAsia" w:hAnsi="Calibri" w:cs="Calibri"/>
          <w:color w:val="212529"/>
        </w:rPr>
        <w:t> </w:t>
      </w:r>
    </w:p>
    <w:p w14:paraId="129E6F07"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212529"/>
        </w:rPr>
        <w:t xml:space="preserve">CC: </w:t>
      </w:r>
      <w:hyperlink r:id="rId6" w:tgtFrame="_blank" w:history="1">
        <w:r>
          <w:rPr>
            <w:rStyle w:val="normaltextrun"/>
            <w:rFonts w:ascii="Calibri" w:eastAsiaTheme="majorEastAsia" w:hAnsi="Calibri" w:cs="Calibri"/>
            <w:color w:val="0000FF"/>
            <w:u w:val="single"/>
          </w:rPr>
          <w:t>planning@southoxon.gov.uk</w:t>
        </w:r>
      </w:hyperlink>
      <w:r>
        <w:rPr>
          <w:rStyle w:val="eop"/>
          <w:rFonts w:ascii="Calibri" w:eastAsiaTheme="majorEastAsia" w:hAnsi="Calibri" w:cs="Calibri"/>
          <w:color w:val="212529"/>
        </w:rPr>
        <w:t> </w:t>
      </w:r>
    </w:p>
    <w:p w14:paraId="63162D18"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color w:val="212529"/>
        </w:rPr>
        <w:t> </w:t>
      </w:r>
    </w:p>
    <w:p w14:paraId="64CCCB7B"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30"/>
          <w:szCs w:val="30"/>
        </w:rPr>
        <w:t>South Oxfordshire District Council </w:t>
      </w:r>
      <w:r>
        <w:rPr>
          <w:rStyle w:val="eop"/>
          <w:rFonts w:ascii="Calibri" w:eastAsiaTheme="majorEastAsia" w:hAnsi="Calibri" w:cs="Calibri"/>
          <w:sz w:val="30"/>
          <w:szCs w:val="30"/>
        </w:rPr>
        <w:t> </w:t>
      </w:r>
    </w:p>
    <w:p w14:paraId="1FA71EC1"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30"/>
          <w:szCs w:val="30"/>
        </w:rPr>
        <w:t>Abbey House </w:t>
      </w:r>
      <w:r>
        <w:rPr>
          <w:rStyle w:val="eop"/>
          <w:rFonts w:ascii="Calibri" w:eastAsiaTheme="majorEastAsia" w:hAnsi="Calibri" w:cs="Calibri"/>
          <w:sz w:val="30"/>
          <w:szCs w:val="30"/>
        </w:rPr>
        <w:t> </w:t>
      </w:r>
    </w:p>
    <w:p w14:paraId="69538942"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30"/>
          <w:szCs w:val="30"/>
        </w:rPr>
        <w:t>Abbey Close</w:t>
      </w:r>
      <w:r>
        <w:rPr>
          <w:rStyle w:val="scxw197782482"/>
          <w:rFonts w:ascii="Calibri" w:eastAsiaTheme="majorEastAsia" w:hAnsi="Calibri" w:cs="Calibri"/>
          <w:sz w:val="30"/>
          <w:szCs w:val="30"/>
        </w:rPr>
        <w:t> </w:t>
      </w:r>
      <w:r>
        <w:rPr>
          <w:rFonts w:ascii="Calibri" w:hAnsi="Calibri" w:cs="Calibri"/>
          <w:sz w:val="30"/>
          <w:szCs w:val="30"/>
        </w:rPr>
        <w:br/>
      </w:r>
      <w:r>
        <w:rPr>
          <w:rStyle w:val="normaltextrun"/>
          <w:rFonts w:ascii="Calibri" w:eastAsiaTheme="majorEastAsia" w:hAnsi="Calibri" w:cs="Calibri"/>
          <w:sz w:val="30"/>
          <w:szCs w:val="30"/>
        </w:rPr>
        <w:t>Abingdon OX14 3JE</w:t>
      </w:r>
      <w:r>
        <w:rPr>
          <w:rStyle w:val="eop"/>
          <w:rFonts w:ascii="Calibri" w:eastAsiaTheme="majorEastAsia" w:hAnsi="Calibri" w:cs="Calibri"/>
          <w:sz w:val="30"/>
          <w:szCs w:val="30"/>
        </w:rPr>
        <w:t> </w:t>
      </w:r>
    </w:p>
    <w:p w14:paraId="44C59D31"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rPr>
        <w:t> </w:t>
      </w:r>
    </w:p>
    <w:p w14:paraId="6C2C3013"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rPr>
        <w:t> </w:t>
      </w:r>
    </w:p>
    <w:p w14:paraId="763D297B"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color w:val="212529"/>
        </w:rPr>
        <w:t> </w:t>
      </w:r>
    </w:p>
    <w:p w14:paraId="236D5922"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212529"/>
        </w:rPr>
        <w:t>Dear Sirs,</w:t>
      </w:r>
      <w:r>
        <w:rPr>
          <w:rStyle w:val="eop"/>
          <w:rFonts w:ascii="Calibri" w:eastAsiaTheme="majorEastAsia" w:hAnsi="Calibri" w:cs="Calibri"/>
          <w:color w:val="212529"/>
        </w:rPr>
        <w:t> </w:t>
      </w:r>
    </w:p>
    <w:p w14:paraId="35013429"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color w:val="212529"/>
        </w:rPr>
        <w:t> </w:t>
      </w:r>
    </w:p>
    <w:p w14:paraId="0A3AD553" w14:textId="0BFBE624"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color w:val="212529"/>
        </w:rPr>
        <w:t xml:space="preserve">RE; Planning applications; P24/S2642/FUL, P24/S2652/S73, </w:t>
      </w:r>
      <w:r w:rsidR="005E1864">
        <w:rPr>
          <w:rStyle w:val="normaltextrun"/>
          <w:rFonts w:ascii="Calibri" w:eastAsiaTheme="majorEastAsia" w:hAnsi="Calibri" w:cs="Calibri"/>
          <w:b/>
          <w:bCs/>
          <w:color w:val="212529"/>
        </w:rPr>
        <w:t>P24/S2651/DIS</w:t>
      </w:r>
    </w:p>
    <w:p w14:paraId="0E168F1F"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color w:val="212529"/>
        </w:rPr>
        <w:t> </w:t>
      </w:r>
    </w:p>
    <w:p w14:paraId="127D540F"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212529"/>
        </w:rPr>
        <w:t>I am writing to object to the following planning applications pursuant to Thames Farm, Lower Shiplake, that are awaiting determination by SODC.</w:t>
      </w:r>
      <w:r>
        <w:rPr>
          <w:rStyle w:val="eop"/>
          <w:rFonts w:ascii="Calibri" w:eastAsiaTheme="majorEastAsia" w:hAnsi="Calibri" w:cs="Calibri"/>
          <w:color w:val="212529"/>
        </w:rPr>
        <w:t> </w:t>
      </w:r>
    </w:p>
    <w:p w14:paraId="6D0E74F9"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color w:val="212529"/>
        </w:rPr>
        <w:t> </w:t>
      </w:r>
    </w:p>
    <w:p w14:paraId="5EAA7721" w14:textId="77777777" w:rsidR="00C5067D" w:rsidRDefault="00C5067D" w:rsidP="00C5067D">
      <w:pPr>
        <w:pStyle w:val="paragraph"/>
        <w:numPr>
          <w:ilvl w:val="0"/>
          <w:numId w:val="1"/>
        </w:numPr>
        <w:spacing w:before="0" w:beforeAutospacing="0" w:after="0" w:afterAutospacing="0"/>
        <w:ind w:left="1080" w:firstLine="0"/>
        <w:textAlignment w:val="baseline"/>
        <w:rPr>
          <w:rFonts w:ascii="Calibri" w:hAnsi="Calibri" w:cs="Calibri"/>
        </w:rPr>
      </w:pPr>
      <w:r>
        <w:rPr>
          <w:rStyle w:val="normaltextrun"/>
          <w:rFonts w:ascii="Calibri" w:eastAsiaTheme="majorEastAsia" w:hAnsi="Calibri" w:cs="Calibri"/>
          <w:color w:val="212529"/>
        </w:rPr>
        <w:t>Fresh, drinkable water is a very scarce resource and there are unquantifiable risks associated with the grouting of the site and the potential effects to the aquifer particularly interrupting the flow of the aquifer and contamination. This is the only potable water supply for the surrounding area and serves approx. 50,000 people. The aquifer below the Thames Farm is in an area designated as an SPZ1 which should be respected.</w:t>
      </w:r>
      <w:r>
        <w:rPr>
          <w:rStyle w:val="eop"/>
          <w:rFonts w:ascii="Calibri" w:eastAsiaTheme="majorEastAsia" w:hAnsi="Calibri" w:cs="Calibri"/>
          <w:color w:val="212529"/>
        </w:rPr>
        <w:t> </w:t>
      </w:r>
    </w:p>
    <w:p w14:paraId="4CA924CC" w14:textId="77777777" w:rsidR="00C5067D" w:rsidRDefault="00C5067D" w:rsidP="00C5067D">
      <w:pPr>
        <w:pStyle w:val="paragraph"/>
        <w:numPr>
          <w:ilvl w:val="0"/>
          <w:numId w:val="2"/>
        </w:numPr>
        <w:spacing w:before="0" w:beforeAutospacing="0" w:after="0" w:afterAutospacing="0"/>
        <w:ind w:left="1080" w:firstLine="0"/>
        <w:textAlignment w:val="baseline"/>
        <w:rPr>
          <w:rFonts w:ascii="Calibri" w:hAnsi="Calibri" w:cs="Calibri"/>
        </w:rPr>
      </w:pPr>
      <w:r>
        <w:rPr>
          <w:rStyle w:val="normaltextrun"/>
          <w:rFonts w:ascii="Calibri" w:eastAsiaTheme="majorEastAsia" w:hAnsi="Calibri" w:cs="Calibri"/>
          <w:color w:val="212529"/>
        </w:rPr>
        <w:t>An independent report produced by JBA Consulting, hydrological engineers has assessed that the drainage strategy proposed by the developer is inadequate and the design is fundamentally flawed.</w:t>
      </w:r>
      <w:r>
        <w:rPr>
          <w:rStyle w:val="eop"/>
          <w:rFonts w:ascii="Calibri" w:eastAsiaTheme="majorEastAsia" w:hAnsi="Calibri" w:cs="Calibri"/>
          <w:color w:val="212529"/>
        </w:rPr>
        <w:t> </w:t>
      </w:r>
    </w:p>
    <w:p w14:paraId="0FF590F6" w14:textId="77777777" w:rsidR="00C5067D" w:rsidRDefault="00C5067D" w:rsidP="00C5067D">
      <w:pPr>
        <w:pStyle w:val="paragraph"/>
        <w:numPr>
          <w:ilvl w:val="0"/>
          <w:numId w:val="3"/>
        </w:numPr>
        <w:spacing w:before="0" w:beforeAutospacing="0" w:after="0" w:afterAutospacing="0"/>
        <w:ind w:left="1080" w:firstLine="0"/>
        <w:textAlignment w:val="baseline"/>
        <w:rPr>
          <w:rFonts w:ascii="Calibri" w:hAnsi="Calibri" w:cs="Calibri"/>
        </w:rPr>
      </w:pPr>
      <w:r>
        <w:rPr>
          <w:rStyle w:val="normaltextrun"/>
          <w:rFonts w:ascii="Calibri" w:eastAsiaTheme="majorEastAsia" w:hAnsi="Calibri" w:cs="Calibri"/>
          <w:color w:val="212529"/>
        </w:rPr>
        <w:t>The drainage design is carbon intensive and contrary to NPPF, SODC’s local plan and OCC Guidance documents. The costs of running and managing these facilities will most likely be borne by the tax payer and customers of the water utility company.</w:t>
      </w:r>
      <w:r>
        <w:rPr>
          <w:rStyle w:val="eop"/>
          <w:rFonts w:ascii="Calibri" w:eastAsiaTheme="majorEastAsia" w:hAnsi="Calibri" w:cs="Calibri"/>
          <w:color w:val="212529"/>
        </w:rPr>
        <w:t> </w:t>
      </w:r>
    </w:p>
    <w:p w14:paraId="5AC6E197" w14:textId="77777777" w:rsidR="00C5067D" w:rsidRDefault="00C5067D" w:rsidP="00C5067D">
      <w:pPr>
        <w:pStyle w:val="paragraph"/>
        <w:numPr>
          <w:ilvl w:val="0"/>
          <w:numId w:val="4"/>
        </w:numPr>
        <w:spacing w:before="0" w:beforeAutospacing="0" w:after="0" w:afterAutospacing="0"/>
        <w:ind w:left="1080" w:firstLine="0"/>
        <w:textAlignment w:val="baseline"/>
        <w:rPr>
          <w:rFonts w:ascii="Calibri" w:hAnsi="Calibri" w:cs="Calibri"/>
        </w:rPr>
      </w:pPr>
      <w:r>
        <w:rPr>
          <w:rStyle w:val="normaltextrun"/>
          <w:rFonts w:ascii="Calibri" w:eastAsiaTheme="majorEastAsia" w:hAnsi="Calibri" w:cs="Calibri"/>
          <w:color w:val="212529"/>
        </w:rPr>
        <w:t>The noise vibration, air quality and disruption to the local community will be excessive and environmentally unacceptable.</w:t>
      </w:r>
      <w:r>
        <w:rPr>
          <w:rStyle w:val="eop"/>
          <w:rFonts w:ascii="Calibri" w:eastAsiaTheme="majorEastAsia" w:hAnsi="Calibri" w:cs="Calibri"/>
          <w:color w:val="212529"/>
        </w:rPr>
        <w:t> </w:t>
      </w:r>
    </w:p>
    <w:p w14:paraId="1AC94EDA" w14:textId="77777777" w:rsidR="00C5067D" w:rsidRDefault="00C5067D" w:rsidP="00C5067D">
      <w:pPr>
        <w:pStyle w:val="paragraph"/>
        <w:numPr>
          <w:ilvl w:val="0"/>
          <w:numId w:val="5"/>
        </w:numPr>
        <w:spacing w:before="0" w:beforeAutospacing="0" w:after="0" w:afterAutospacing="0"/>
        <w:ind w:left="1080" w:firstLine="0"/>
        <w:textAlignment w:val="baseline"/>
        <w:rPr>
          <w:rFonts w:ascii="Calibri" w:hAnsi="Calibri" w:cs="Calibri"/>
        </w:rPr>
      </w:pPr>
      <w:r>
        <w:rPr>
          <w:rStyle w:val="normaltextrun"/>
          <w:rFonts w:ascii="Calibri" w:eastAsiaTheme="majorEastAsia" w:hAnsi="Calibri" w:cs="Calibri"/>
          <w:color w:val="212529"/>
        </w:rPr>
        <w:t>Thames Water has itself been unable to determine approval to the infrastructure to accommodate the waste water and foul sewerage from the Thames Farm site due to a lack of detail and information.</w:t>
      </w:r>
      <w:r>
        <w:rPr>
          <w:rStyle w:val="eop"/>
          <w:rFonts w:ascii="Calibri" w:eastAsiaTheme="majorEastAsia" w:hAnsi="Calibri" w:cs="Calibri"/>
          <w:color w:val="212529"/>
        </w:rPr>
        <w:t> </w:t>
      </w:r>
    </w:p>
    <w:p w14:paraId="37E2B160"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color w:val="212529"/>
        </w:rPr>
        <w:t> </w:t>
      </w:r>
    </w:p>
    <w:p w14:paraId="0EBB81DA"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color w:val="212529"/>
        </w:rPr>
        <w:t> </w:t>
      </w:r>
    </w:p>
    <w:p w14:paraId="4A7130BB"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212529"/>
        </w:rPr>
        <w:t>I would ask SODC to refuse the Applications above for the reasons given</w:t>
      </w:r>
      <w:r>
        <w:rPr>
          <w:rStyle w:val="eop"/>
          <w:rFonts w:ascii="Calibri" w:eastAsiaTheme="majorEastAsia" w:hAnsi="Calibri" w:cs="Calibri"/>
          <w:color w:val="212529"/>
        </w:rPr>
        <w:t> </w:t>
      </w:r>
    </w:p>
    <w:p w14:paraId="73675A09"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color w:val="212529"/>
        </w:rPr>
        <w:t> </w:t>
      </w:r>
    </w:p>
    <w:p w14:paraId="5EF5FEE2"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color w:val="212529"/>
        </w:rPr>
        <w:t> </w:t>
      </w:r>
    </w:p>
    <w:p w14:paraId="1E40086F"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212529"/>
        </w:rPr>
        <w:t>Yours Faithfully,</w:t>
      </w:r>
      <w:r>
        <w:rPr>
          <w:rStyle w:val="eop"/>
          <w:rFonts w:ascii="Calibri" w:eastAsiaTheme="majorEastAsia" w:hAnsi="Calibri" w:cs="Calibri"/>
          <w:color w:val="212529"/>
        </w:rPr>
        <w:t> </w:t>
      </w:r>
    </w:p>
    <w:p w14:paraId="1990461F"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color w:val="212529"/>
        </w:rPr>
        <w:t> </w:t>
      </w:r>
    </w:p>
    <w:p w14:paraId="4EDEC4CA"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color w:val="212529"/>
        </w:rPr>
        <w:t> </w:t>
      </w:r>
    </w:p>
    <w:p w14:paraId="533055B2" w14:textId="77777777" w:rsidR="00C5067D" w:rsidRDefault="00C5067D" w:rsidP="00C5067D">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212529"/>
        </w:rPr>
        <w:t>xxxxxxx</w:t>
      </w:r>
      <w:r>
        <w:rPr>
          <w:rStyle w:val="eop"/>
          <w:rFonts w:ascii="Calibri" w:eastAsiaTheme="majorEastAsia" w:hAnsi="Calibri" w:cs="Calibri"/>
          <w:color w:val="212529"/>
        </w:rPr>
        <w:t> </w:t>
      </w:r>
    </w:p>
    <w:p w14:paraId="2A155FE8" w14:textId="77777777" w:rsidR="008A5756" w:rsidRDefault="008A5756"/>
    <w:sectPr w:rsidR="008A57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373CB"/>
    <w:multiLevelType w:val="multilevel"/>
    <w:tmpl w:val="E2F217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D707725"/>
    <w:multiLevelType w:val="multilevel"/>
    <w:tmpl w:val="4FECA3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7C4512"/>
    <w:multiLevelType w:val="multilevel"/>
    <w:tmpl w:val="2CAADB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1C16CD"/>
    <w:multiLevelType w:val="multilevel"/>
    <w:tmpl w:val="D564DD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A05947"/>
    <w:multiLevelType w:val="multilevel"/>
    <w:tmpl w:val="6C14C9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143816390">
    <w:abstractNumId w:val="1"/>
  </w:num>
  <w:num w:numId="2" w16cid:durableId="4980760">
    <w:abstractNumId w:val="3"/>
  </w:num>
  <w:num w:numId="3" w16cid:durableId="130708564">
    <w:abstractNumId w:val="2"/>
  </w:num>
  <w:num w:numId="4" w16cid:durableId="439496809">
    <w:abstractNumId w:val="4"/>
  </w:num>
  <w:num w:numId="5" w16cid:durableId="225604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7D"/>
    <w:rsid w:val="005E1864"/>
    <w:rsid w:val="00831D56"/>
    <w:rsid w:val="008A5756"/>
    <w:rsid w:val="00A5433C"/>
    <w:rsid w:val="00C50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5AEFE"/>
  <w15:chartTrackingRefBased/>
  <w15:docId w15:val="{A0E0AA86-C332-45FB-89EE-94B95722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5067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C5067D"/>
  </w:style>
  <w:style w:type="character" w:customStyle="1" w:styleId="eop">
    <w:name w:val="eop"/>
    <w:basedOn w:val="DefaultParagraphFont"/>
    <w:rsid w:val="00C5067D"/>
  </w:style>
  <w:style w:type="character" w:customStyle="1" w:styleId="scxw197782482">
    <w:name w:val="scxw197782482"/>
    <w:basedOn w:val="DefaultParagraphFont"/>
    <w:rsid w:val="00C50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869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lanning@southoxon.gov.uk" TargetMode="External"/><Relationship Id="rId5" Type="http://schemas.openxmlformats.org/officeDocument/2006/relationships/hyperlink" Target="mailto:%3Cemma.bowerman@southandvale.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1586</Characters>
  <Application>Microsoft Office Word</Application>
  <DocSecurity>0</DocSecurity>
  <Lines>13</Lines>
  <Paragraphs>3</Paragraphs>
  <ScaleCrop>false</ScaleCrop>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boros</dc:creator>
  <cp:keywords/>
  <dc:description/>
  <cp:lastModifiedBy>peter boros</cp:lastModifiedBy>
  <cp:revision>2</cp:revision>
  <dcterms:created xsi:type="dcterms:W3CDTF">2024-10-01T12:30:00Z</dcterms:created>
  <dcterms:modified xsi:type="dcterms:W3CDTF">2024-10-01T15:32:00Z</dcterms:modified>
</cp:coreProperties>
</file>